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E45" w:rsidRPr="00FE4B89" w:rsidRDefault="007A7E45" w:rsidP="00FE4B89">
      <w:bookmarkStart w:id="0" w:name="_GoBack"/>
      <w:bookmarkEnd w:id="0"/>
    </w:p>
    <w:p w:rsidR="000D3C60" w:rsidRDefault="00BD4D73">
      <w:pPr>
        <w:pStyle w:val="Naslov2"/>
      </w:pPr>
      <w:r>
        <w:t>06055 Državna ergela Đakovo i Lipik</w:t>
      </w:r>
    </w:p>
    <w:p w:rsidR="000D3C60" w:rsidRDefault="00BD4D73">
      <w:r>
        <w:t>Državna ergela Đakovo i Lipik osnovana je Uredbom o Državnoj ergeli Đakovo i Lipik kao krovna ustanova za poslove konjogojstva u Republici Hrvatskoj. Sjedište ustanove je u Đakovu. Osnovna djelatnost je uzgoj konja lipicanske pasmine u ergelama Đakovo i Li</w:t>
      </w:r>
      <w:r>
        <w:t>pik. Vlada Republike Hrvatske na sjednici održanoj 04. kolovoza 2010. godine, a temeljem članka 12. stavka 2. Zakona o ustanovama (NN br. 76/93, 29/97, 47/99 i 35/2008) donijela je Uredbu o osnivanju ustanove HRVATSKI CENTAR ZA KONJOGOJSTVO – DRŽAVNE ERGEL</w:t>
      </w:r>
      <w:r>
        <w:t>E ĐAKOVO I LIPIK (NN 96/2010 ) i to spajanjem Hrvatskog centra za konjogojstvo-Državna ergela Lipik i Državne ergele lipicanaca Đakovo, sa sjedištem u Lipiku, Baranjska 18. Ustanova je započela sa radom dana 01. veljače 2011. godine.  20. rujna 2012. godin</w:t>
      </w:r>
      <w:r>
        <w:t>e donesena je Uredba o izmjenama Uredbe o HCK – Državne ergele Đakovo i Lipik (NN 106/2012), te se tom Uredbom reorganizira HCK, a kao pravni sljednik nastavlja egzistirati DRŽAVNA ERGELA ĐAKOVO I LIPIK (DEĐL) sa sjedištem u Đakovu, Augusta Šenoe 45. Jedin</w:t>
      </w:r>
      <w:r>
        <w:t xml:space="preserve">ica za vođenje središnjeg registra kopitara postaje sastavni dio Hrvatske poljoprivredne agencije. Ustanova pod novim nazivom započinje s radom 01. siječnja 2013.godine.  Vlada RH je 11.ožujka 2021.g. donijela Uredbu o Državnoj ergeli Đakovo i Lipik kojom </w:t>
      </w:r>
      <w:r>
        <w:t>se uređuje djelatnost, ustroj, način rada, poslovanje, upravljanje i način financiranja Državne ergele kao javne ustanove za poslove konjogojstva u RH.  Osnivač ergele je Republika Hrvatska, a prava i dužnosti osnivača obavlja ministarstvo nadležno za polj</w:t>
      </w:r>
      <w:r>
        <w:t>oprivredu.  Državna ergela ima svojstvo pravne osobe s pravima i obvezama propisanim Uredbom o Državnoj ergeli, drugim zakonima i Statutom DEĐL-a. DEĐL-om upravlja Upravno vijeće DEĐL-a, a radom DEĐL-a rukovodi ravnatelj.  Djelatnost DEĐL-a čine sljedeći p</w:t>
      </w:r>
      <w:r>
        <w:t>oslovi i zadaci: 1. provođenje programa uzgoja lipicanaca u Državnoj ergeli; 2. provođenje uzgojno-selekcijskog rada u Državnoj ergeli; 3. ispitivanje uzgojne i uporabne vrijednosti kopitara u Državnoj ergeli; 4. prosljeđivanje identifikacijskih i uzgojnih</w:t>
      </w:r>
      <w:r>
        <w:t xml:space="preserve"> podataka konja Državne ergele ovlaštenoj ustanovi; 5. sudjelovanje u programima zaštite i očuvanja lipicanske pasmine konja u Državnoj ergeli; 6. organiziranje i provođenje poljoprivredne proizvodnje za potrebe Državne ergele; 7. razvoj sportskih aktivnos</w:t>
      </w:r>
      <w:r>
        <w:t>ti s lipicanskom pasminom; 8. organiziranje i sudjelovanje u organiziranju izložbi, smotri i drugih manifestacija kopitara; 9. organizacija turističkih djelatnosti za potrebe Državne ergele; 10. izrada promotivnih i drugih materijala za potrebe Državne erg</w:t>
      </w:r>
      <w:r>
        <w:t>ele; 11. korištenje konja iz ergele u turističkoj ponudi, rekreaciji, hipoterapiji, lovu, hobi-programima, tradicionalnim priredbama i izložbama; 12. korištenje konja iz ergele u državnom protokolu, vojsci, policiji i školskom obrazovanju; 13. drugi poslov</w:t>
      </w:r>
      <w:r>
        <w:t>i utvrđeni Statutom.</w:t>
      </w:r>
    </w:p>
    <w:tbl>
      <w:tblPr>
        <w:tblStyle w:val="StilTablice"/>
        <w:tblW w:w="10206" w:type="dxa"/>
        <w:jc w:val="center"/>
        <w:tblLook w:val="04A0" w:firstRow="1" w:lastRow="0" w:firstColumn="1" w:lastColumn="0" w:noHBand="0" w:noVBand="1"/>
      </w:tblPr>
      <w:tblGrid>
        <w:gridCol w:w="1943"/>
        <w:gridCol w:w="1949"/>
        <w:gridCol w:w="1949"/>
        <w:gridCol w:w="1950"/>
        <w:gridCol w:w="1203"/>
        <w:gridCol w:w="1212"/>
      </w:tblGrid>
      <w:tr w:rsidR="000D3C60">
        <w:trPr>
          <w:jc w:val="center"/>
        </w:trPr>
        <w:tc>
          <w:tcPr>
            <w:tcW w:w="1632" w:type="dxa"/>
            <w:shd w:val="clear" w:color="auto" w:fill="B5C0D8"/>
          </w:tcPr>
          <w:p w:rsidR="000D3C60" w:rsidRDefault="000D3C60">
            <w:pPr>
              <w:pStyle w:val="CellHeader"/>
              <w:jc w:val="center"/>
            </w:pPr>
          </w:p>
        </w:tc>
        <w:tc>
          <w:tcPr>
            <w:tcW w:w="2041" w:type="dxa"/>
            <w:shd w:val="clear" w:color="auto" w:fill="B5C0D8"/>
          </w:tcPr>
          <w:p w:rsidR="000D3C60" w:rsidRDefault="00BD4D73">
            <w:pPr>
              <w:pStyle w:val="CellHeader"/>
              <w:jc w:val="center"/>
            </w:pPr>
            <w:r>
              <w:rPr>
                <w:rFonts w:cs="Times New Roman"/>
              </w:rPr>
              <w:t>Izvršenje 2024. (eur)</w:t>
            </w:r>
          </w:p>
        </w:tc>
        <w:tc>
          <w:tcPr>
            <w:tcW w:w="2041" w:type="dxa"/>
            <w:shd w:val="clear" w:color="auto" w:fill="B5C0D8"/>
          </w:tcPr>
          <w:p w:rsidR="000D3C60" w:rsidRDefault="00BD4D73">
            <w:pPr>
              <w:pStyle w:val="CellHeader"/>
              <w:jc w:val="center"/>
            </w:pPr>
            <w:r>
              <w:rPr>
                <w:rFonts w:cs="Times New Roman"/>
              </w:rPr>
              <w:t>Plan 2025. (eur)</w:t>
            </w:r>
          </w:p>
        </w:tc>
        <w:tc>
          <w:tcPr>
            <w:tcW w:w="2041" w:type="dxa"/>
            <w:shd w:val="clear" w:color="auto" w:fill="B5C0D8"/>
          </w:tcPr>
          <w:p w:rsidR="000D3C60" w:rsidRDefault="00BD4D73">
            <w:pPr>
              <w:pStyle w:val="CellHeader"/>
              <w:jc w:val="center"/>
            </w:pPr>
            <w:r>
              <w:rPr>
                <w:rFonts w:cs="Times New Roman"/>
              </w:rPr>
              <w:t>Izvršenje 2025. (eur)</w:t>
            </w:r>
          </w:p>
        </w:tc>
        <w:tc>
          <w:tcPr>
            <w:tcW w:w="1224" w:type="dxa"/>
            <w:shd w:val="clear" w:color="auto" w:fill="B5C0D8"/>
          </w:tcPr>
          <w:p w:rsidR="000D3C60" w:rsidRDefault="00BD4D73">
            <w:pPr>
              <w:pStyle w:val="CellHeader"/>
              <w:jc w:val="center"/>
            </w:pPr>
            <w:r>
              <w:rPr>
                <w:rFonts w:cs="Times New Roman"/>
              </w:rPr>
              <w:t>Indeks izvršenje 2025./plan 2025.</w:t>
            </w:r>
          </w:p>
        </w:tc>
        <w:tc>
          <w:tcPr>
            <w:tcW w:w="1224" w:type="dxa"/>
            <w:shd w:val="clear" w:color="auto" w:fill="B5C0D8"/>
          </w:tcPr>
          <w:p w:rsidR="000D3C60" w:rsidRDefault="00BD4D73">
            <w:pPr>
              <w:pStyle w:val="CellHeader"/>
              <w:jc w:val="center"/>
            </w:pPr>
            <w:r>
              <w:rPr>
                <w:rFonts w:cs="Times New Roman"/>
              </w:rPr>
              <w:t>Indeks izvršenje 2025./2024.</w:t>
            </w:r>
          </w:p>
        </w:tc>
      </w:tr>
      <w:tr w:rsidR="000D3C60">
        <w:trPr>
          <w:jc w:val="center"/>
        </w:trPr>
        <w:tc>
          <w:tcPr>
            <w:tcW w:w="1632" w:type="dxa"/>
            <w:vAlign w:val="top"/>
          </w:tcPr>
          <w:p w:rsidR="000D3C60" w:rsidRDefault="00BD4D73">
            <w:pPr>
              <w:pStyle w:val="CellColumn"/>
              <w:jc w:val="left"/>
            </w:pPr>
            <w:r>
              <w:rPr>
                <w:rFonts w:cs="Times New Roman"/>
              </w:rPr>
              <w:t>06055-Državna ergela Đakovo i Lipik</w:t>
            </w:r>
          </w:p>
        </w:tc>
        <w:tc>
          <w:tcPr>
            <w:tcW w:w="2041" w:type="dxa"/>
            <w:vAlign w:val="top"/>
          </w:tcPr>
          <w:p w:rsidR="000D3C60" w:rsidRDefault="00BD4D73">
            <w:pPr>
              <w:pStyle w:val="CellColumn"/>
              <w:jc w:val="right"/>
            </w:pPr>
            <w:r>
              <w:rPr>
                <w:rFonts w:cs="Times New Roman"/>
              </w:rPr>
              <w:t>3.463.960</w:t>
            </w:r>
          </w:p>
        </w:tc>
        <w:tc>
          <w:tcPr>
            <w:tcW w:w="2041" w:type="dxa"/>
            <w:vAlign w:val="top"/>
          </w:tcPr>
          <w:p w:rsidR="000D3C60" w:rsidRDefault="00BD4D73">
            <w:pPr>
              <w:pStyle w:val="CellColumn"/>
              <w:jc w:val="right"/>
            </w:pPr>
            <w:r>
              <w:rPr>
                <w:rFonts w:cs="Times New Roman"/>
              </w:rPr>
              <w:t>7.681.359</w:t>
            </w:r>
          </w:p>
        </w:tc>
        <w:tc>
          <w:tcPr>
            <w:tcW w:w="2041" w:type="dxa"/>
            <w:vAlign w:val="top"/>
          </w:tcPr>
          <w:p w:rsidR="000D3C60" w:rsidRDefault="00BD4D73">
            <w:pPr>
              <w:pStyle w:val="CellColumn"/>
              <w:jc w:val="right"/>
            </w:pPr>
            <w:r>
              <w:rPr>
                <w:rFonts w:cs="Times New Roman"/>
              </w:rPr>
              <w:t>7.596.843</w:t>
            </w:r>
          </w:p>
        </w:tc>
        <w:tc>
          <w:tcPr>
            <w:tcW w:w="1224" w:type="dxa"/>
            <w:vAlign w:val="top"/>
          </w:tcPr>
          <w:p w:rsidR="000D3C60" w:rsidRDefault="00BD4D73">
            <w:pPr>
              <w:pStyle w:val="CellColumn"/>
              <w:jc w:val="right"/>
            </w:pPr>
            <w:r>
              <w:rPr>
                <w:rFonts w:cs="Times New Roman"/>
              </w:rPr>
              <w:t>98,9</w:t>
            </w:r>
          </w:p>
        </w:tc>
        <w:tc>
          <w:tcPr>
            <w:tcW w:w="1224" w:type="dxa"/>
            <w:vAlign w:val="top"/>
          </w:tcPr>
          <w:p w:rsidR="000D3C60" w:rsidRDefault="00BD4D73">
            <w:pPr>
              <w:pStyle w:val="CellColumn"/>
              <w:jc w:val="right"/>
            </w:pPr>
            <w:r>
              <w:rPr>
                <w:rFonts w:cs="Times New Roman"/>
              </w:rPr>
              <w:t>219,3</w:t>
            </w:r>
          </w:p>
        </w:tc>
      </w:tr>
      <w:tr w:rsidR="000D3C60">
        <w:trPr>
          <w:jc w:val="center"/>
        </w:trPr>
        <w:tc>
          <w:tcPr>
            <w:tcW w:w="1632" w:type="dxa"/>
          </w:tcPr>
          <w:p w:rsidR="000D3C60" w:rsidRDefault="00BD4D73">
            <w:pPr>
              <w:jc w:val="left"/>
            </w:pPr>
            <w:r>
              <w:t>3001-UPRAVLJANJE POLJOPRIVREDOM, RIBARSTVOM I RURALNIM RAZVOJEM</w:t>
            </w:r>
          </w:p>
        </w:tc>
        <w:tc>
          <w:tcPr>
            <w:tcW w:w="2041" w:type="dxa"/>
          </w:tcPr>
          <w:p w:rsidR="000D3C60" w:rsidRDefault="00BD4D73">
            <w:pPr>
              <w:jc w:val="right"/>
            </w:pPr>
            <w:r>
              <w:t>3.463.960</w:t>
            </w:r>
          </w:p>
        </w:tc>
        <w:tc>
          <w:tcPr>
            <w:tcW w:w="2041" w:type="dxa"/>
          </w:tcPr>
          <w:p w:rsidR="000D3C60" w:rsidRDefault="00BD4D73">
            <w:pPr>
              <w:jc w:val="right"/>
            </w:pPr>
            <w:r>
              <w:t>7.681.359</w:t>
            </w:r>
          </w:p>
        </w:tc>
        <w:tc>
          <w:tcPr>
            <w:tcW w:w="2041" w:type="dxa"/>
          </w:tcPr>
          <w:p w:rsidR="000D3C60" w:rsidRDefault="00BD4D73">
            <w:pPr>
              <w:jc w:val="right"/>
            </w:pPr>
            <w:r>
              <w:t>7.596.843</w:t>
            </w:r>
          </w:p>
        </w:tc>
        <w:tc>
          <w:tcPr>
            <w:tcW w:w="1224" w:type="dxa"/>
          </w:tcPr>
          <w:p w:rsidR="000D3C60" w:rsidRDefault="00BD4D73">
            <w:pPr>
              <w:jc w:val="right"/>
            </w:pPr>
            <w:r>
              <w:t>98,9</w:t>
            </w:r>
          </w:p>
        </w:tc>
        <w:tc>
          <w:tcPr>
            <w:tcW w:w="1224" w:type="dxa"/>
          </w:tcPr>
          <w:p w:rsidR="000D3C60" w:rsidRDefault="00BD4D73">
            <w:pPr>
              <w:jc w:val="right"/>
            </w:pPr>
            <w:r>
              <w:t>219,3</w:t>
            </w:r>
          </w:p>
        </w:tc>
      </w:tr>
    </w:tbl>
    <w:p w:rsidR="000D3C60" w:rsidRDefault="000D3C60">
      <w:pPr>
        <w:jc w:val="left"/>
      </w:pPr>
    </w:p>
    <w:p w:rsidR="000D3C60" w:rsidRDefault="00BD4D73">
      <w:pPr>
        <w:pStyle w:val="Naslov3"/>
      </w:pPr>
      <w:r>
        <w:rPr>
          <w:rFonts w:cs="Times New Roman"/>
        </w:rPr>
        <w:t>3001 UPRAVLJANJE POLJOPRIVREDOM, RIBARSTVOM I RURALNIM RAZVOJEM</w:t>
      </w:r>
    </w:p>
    <w:tbl>
      <w:tblPr>
        <w:tblStyle w:val="StilTablice"/>
        <w:tblW w:w="10206" w:type="dxa"/>
        <w:jc w:val="center"/>
        <w:tblLook w:val="04A0" w:firstRow="1" w:lastRow="0" w:firstColumn="1" w:lastColumn="0" w:noHBand="0" w:noVBand="1"/>
      </w:tblPr>
      <w:tblGrid>
        <w:gridCol w:w="1943"/>
        <w:gridCol w:w="1949"/>
        <w:gridCol w:w="1949"/>
        <w:gridCol w:w="1950"/>
        <w:gridCol w:w="1203"/>
        <w:gridCol w:w="1212"/>
      </w:tblGrid>
      <w:tr w:rsidR="000D3C60">
        <w:trPr>
          <w:jc w:val="center"/>
        </w:trPr>
        <w:tc>
          <w:tcPr>
            <w:tcW w:w="1632" w:type="dxa"/>
            <w:shd w:val="clear" w:color="auto" w:fill="B5C0D8"/>
          </w:tcPr>
          <w:p w:rsidR="000D3C60" w:rsidRDefault="000D3C60">
            <w:pPr>
              <w:pStyle w:val="CellHeader"/>
              <w:jc w:val="center"/>
            </w:pPr>
          </w:p>
        </w:tc>
        <w:tc>
          <w:tcPr>
            <w:tcW w:w="2041" w:type="dxa"/>
            <w:shd w:val="clear" w:color="auto" w:fill="B5C0D8"/>
          </w:tcPr>
          <w:p w:rsidR="000D3C60" w:rsidRDefault="00BD4D73">
            <w:pPr>
              <w:pStyle w:val="CellHeader"/>
              <w:jc w:val="center"/>
            </w:pPr>
            <w:r>
              <w:rPr>
                <w:rFonts w:cs="Times New Roman"/>
              </w:rPr>
              <w:t>Izvršenje 2024. (eur)</w:t>
            </w:r>
          </w:p>
        </w:tc>
        <w:tc>
          <w:tcPr>
            <w:tcW w:w="2041" w:type="dxa"/>
            <w:shd w:val="clear" w:color="auto" w:fill="B5C0D8"/>
          </w:tcPr>
          <w:p w:rsidR="000D3C60" w:rsidRDefault="00BD4D73">
            <w:pPr>
              <w:pStyle w:val="CellHeader"/>
              <w:jc w:val="center"/>
            </w:pPr>
            <w:r>
              <w:rPr>
                <w:rFonts w:cs="Times New Roman"/>
              </w:rPr>
              <w:t>Plan 2025. (eur)</w:t>
            </w:r>
          </w:p>
        </w:tc>
        <w:tc>
          <w:tcPr>
            <w:tcW w:w="2041" w:type="dxa"/>
            <w:shd w:val="clear" w:color="auto" w:fill="B5C0D8"/>
          </w:tcPr>
          <w:p w:rsidR="000D3C60" w:rsidRDefault="00BD4D73">
            <w:pPr>
              <w:pStyle w:val="CellHeader"/>
              <w:jc w:val="center"/>
            </w:pPr>
            <w:r>
              <w:rPr>
                <w:rFonts w:cs="Times New Roman"/>
              </w:rPr>
              <w:t>Izvršenje 2025. (eur)</w:t>
            </w:r>
          </w:p>
        </w:tc>
        <w:tc>
          <w:tcPr>
            <w:tcW w:w="1224" w:type="dxa"/>
            <w:shd w:val="clear" w:color="auto" w:fill="B5C0D8"/>
          </w:tcPr>
          <w:p w:rsidR="000D3C60" w:rsidRDefault="00BD4D73">
            <w:pPr>
              <w:pStyle w:val="CellHeader"/>
              <w:jc w:val="center"/>
            </w:pPr>
            <w:r>
              <w:rPr>
                <w:rFonts w:cs="Times New Roman"/>
              </w:rPr>
              <w:t>Indeks izvršenje 2025./plan 2025.</w:t>
            </w:r>
          </w:p>
        </w:tc>
        <w:tc>
          <w:tcPr>
            <w:tcW w:w="1224" w:type="dxa"/>
            <w:shd w:val="clear" w:color="auto" w:fill="B5C0D8"/>
          </w:tcPr>
          <w:p w:rsidR="000D3C60" w:rsidRDefault="00BD4D73">
            <w:pPr>
              <w:pStyle w:val="CellHeader"/>
              <w:jc w:val="center"/>
            </w:pPr>
            <w:r>
              <w:rPr>
                <w:rFonts w:cs="Times New Roman"/>
              </w:rPr>
              <w:t>Index izvršenje 2025./2024.</w:t>
            </w:r>
          </w:p>
        </w:tc>
      </w:tr>
      <w:tr w:rsidR="000D3C60">
        <w:trPr>
          <w:jc w:val="center"/>
        </w:trPr>
        <w:tc>
          <w:tcPr>
            <w:tcW w:w="1632" w:type="dxa"/>
          </w:tcPr>
          <w:p w:rsidR="000D3C60" w:rsidRDefault="00BD4D73">
            <w:pPr>
              <w:pStyle w:val="CellColumn"/>
              <w:jc w:val="left"/>
            </w:pPr>
            <w:r>
              <w:rPr>
                <w:rFonts w:cs="Times New Roman"/>
              </w:rPr>
              <w:lastRenderedPageBreak/>
              <w:t>3001-UPRAVLJANJE POLJOPRIVREDOM, RIBARSTVOM I RURALNIM RAZVOJEM</w:t>
            </w:r>
          </w:p>
        </w:tc>
        <w:tc>
          <w:tcPr>
            <w:tcW w:w="2041" w:type="dxa"/>
          </w:tcPr>
          <w:p w:rsidR="000D3C60" w:rsidRDefault="00BD4D73">
            <w:pPr>
              <w:pStyle w:val="CellColumn"/>
              <w:jc w:val="right"/>
            </w:pPr>
            <w:r>
              <w:rPr>
                <w:rFonts w:cs="Times New Roman"/>
              </w:rPr>
              <w:t>3.463.960</w:t>
            </w:r>
          </w:p>
        </w:tc>
        <w:tc>
          <w:tcPr>
            <w:tcW w:w="2041" w:type="dxa"/>
          </w:tcPr>
          <w:p w:rsidR="000D3C60" w:rsidRDefault="00BD4D73">
            <w:pPr>
              <w:pStyle w:val="CellColumn"/>
              <w:jc w:val="right"/>
            </w:pPr>
            <w:r>
              <w:rPr>
                <w:rFonts w:cs="Times New Roman"/>
              </w:rPr>
              <w:t>7.681.359</w:t>
            </w:r>
          </w:p>
        </w:tc>
        <w:tc>
          <w:tcPr>
            <w:tcW w:w="2041" w:type="dxa"/>
          </w:tcPr>
          <w:p w:rsidR="000D3C60" w:rsidRDefault="00BD4D73">
            <w:pPr>
              <w:pStyle w:val="CellColumn"/>
              <w:jc w:val="right"/>
            </w:pPr>
            <w:r>
              <w:rPr>
                <w:rFonts w:cs="Times New Roman"/>
              </w:rPr>
              <w:t>7.596.843</w:t>
            </w:r>
          </w:p>
        </w:tc>
        <w:tc>
          <w:tcPr>
            <w:tcW w:w="1224" w:type="dxa"/>
          </w:tcPr>
          <w:p w:rsidR="000D3C60" w:rsidRDefault="00BD4D73">
            <w:pPr>
              <w:pStyle w:val="CellColumn"/>
              <w:jc w:val="right"/>
            </w:pPr>
            <w:r>
              <w:rPr>
                <w:rFonts w:cs="Times New Roman"/>
              </w:rPr>
              <w:t>98,9</w:t>
            </w:r>
          </w:p>
        </w:tc>
        <w:tc>
          <w:tcPr>
            <w:tcW w:w="1224" w:type="dxa"/>
          </w:tcPr>
          <w:p w:rsidR="000D3C60" w:rsidRDefault="00BD4D73">
            <w:pPr>
              <w:pStyle w:val="CellColumn"/>
              <w:jc w:val="right"/>
            </w:pPr>
            <w:r>
              <w:rPr>
                <w:rFonts w:cs="Times New Roman"/>
              </w:rPr>
              <w:t>219,3</w:t>
            </w:r>
          </w:p>
        </w:tc>
      </w:tr>
    </w:tbl>
    <w:p w:rsidR="000D3C60" w:rsidRDefault="000D3C60">
      <w:pPr>
        <w:jc w:val="left"/>
      </w:pPr>
    </w:p>
    <w:p w:rsidR="000D3C60" w:rsidRDefault="00BD4D73">
      <w:r>
        <w:t xml:space="preserve">Osnovna djelatnost je uzgoj konja lipicanske pasmine u ergelama Đakovo i Lipik.   </w:t>
      </w:r>
    </w:p>
    <w:p w:rsidR="000D3C60" w:rsidRDefault="00BD4D73">
      <w:r>
        <w:t>Provedba programa omogućuje očuvanje genetske varijabilnosti i osobina pasmine(morfološke i reprodukcijske), imajući u vidu očuvanje autohtonih linija i rodova te njihove uravnoteženosti u populaciji.</w:t>
      </w:r>
    </w:p>
    <w:p w:rsidR="000D3C60" w:rsidRDefault="00BD4D73">
      <w:pPr>
        <w:pStyle w:val="Naslov8"/>
        <w:jc w:val="left"/>
      </w:pPr>
      <w:r>
        <w:t>Cilj 1. Očuvanje i unaprijeđenje genetskog materijala lipicanske pasmine u RH</w:t>
      </w:r>
    </w:p>
    <w:p w:rsidR="000D3C60" w:rsidRDefault="00BD4D73">
      <w:pPr>
        <w:pStyle w:val="Naslov8"/>
        <w:jc w:val="left"/>
      </w:pPr>
      <w:r>
        <w:t>Opis provedbe cilja programa</w:t>
      </w:r>
    </w:p>
    <w:p w:rsidR="000D3C60" w:rsidRDefault="00BD4D73">
      <w:r>
        <w:t xml:space="preserve">Navedenim ciljem želi se postići očuvanje genetske varijabilnosti i osobina pasmine (morfološke i reprodukcijske), imajući u vidu očuvanje hrvatskih </w:t>
      </w:r>
      <w:r>
        <w:t xml:space="preserve">linija i rodova te njihove uravnoteženosti u populaciji.    </w:t>
      </w:r>
    </w:p>
    <w:p w:rsidR="000D3C60" w:rsidRDefault="00BD4D73">
      <w:r>
        <w:t xml:space="preserve">Dugoročni cilj je uzgojni program kroz koji će se povećati udio pastuha i kobila zavedenih u Glavnu matičnu knjigu kao i povećanje udjela licenciranih grla.  </w:t>
      </w:r>
    </w:p>
    <w:p w:rsidR="000D3C60" w:rsidRDefault="00BD4D73">
      <w:r>
        <w:t>U okviru programa osigurana su sreds</w:t>
      </w:r>
      <w:r>
        <w:t>tva za redovno funkcioniranje Državne ergele Đakovo i Lipik.</w:t>
      </w:r>
    </w:p>
    <w:p w:rsidR="000D3C60" w:rsidRDefault="00BD4D73">
      <w:pPr>
        <w:pStyle w:val="Naslov8"/>
        <w:jc w:val="left"/>
      </w:pPr>
      <w:r>
        <w:t>Pokazatelji učinka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0D3C60">
        <w:trPr>
          <w:jc w:val="center"/>
        </w:trPr>
        <w:tc>
          <w:tcPr>
            <w:tcW w:w="2551" w:type="dxa"/>
            <w:shd w:val="clear" w:color="auto" w:fill="B5C0D8"/>
          </w:tcPr>
          <w:p w:rsidR="000D3C60" w:rsidRDefault="00BD4D73">
            <w:pPr>
              <w:jc w:val="center"/>
            </w:pPr>
            <w:r>
              <w:t>Pokazatelj učinka</w:t>
            </w:r>
          </w:p>
        </w:tc>
        <w:tc>
          <w:tcPr>
            <w:tcW w:w="2551" w:type="dxa"/>
            <w:shd w:val="clear" w:color="auto" w:fill="B5C0D8"/>
          </w:tcPr>
          <w:p w:rsidR="000D3C60" w:rsidRDefault="00BD4D73">
            <w:pPr>
              <w:pStyle w:val="CellHeader"/>
              <w:jc w:val="center"/>
            </w:pPr>
            <w:r>
              <w:rPr>
                <w:rFonts w:cs="Times New Roman"/>
              </w:rPr>
              <w:t>Definicija</w:t>
            </w:r>
          </w:p>
        </w:tc>
        <w:tc>
          <w:tcPr>
            <w:tcW w:w="1020" w:type="dxa"/>
            <w:shd w:val="clear" w:color="auto" w:fill="B5C0D8"/>
          </w:tcPr>
          <w:p w:rsidR="000D3C60" w:rsidRDefault="00BD4D73">
            <w:pPr>
              <w:pStyle w:val="CellHeader"/>
              <w:jc w:val="center"/>
            </w:pPr>
            <w:r>
              <w:rPr>
                <w:rFonts w:cs="Times New Roman"/>
              </w:rPr>
              <w:t>Jedinica</w:t>
            </w:r>
          </w:p>
        </w:tc>
        <w:tc>
          <w:tcPr>
            <w:tcW w:w="1020" w:type="dxa"/>
            <w:shd w:val="clear" w:color="auto" w:fill="B5C0D8"/>
          </w:tcPr>
          <w:p w:rsidR="000D3C60" w:rsidRDefault="00BD4D73">
            <w:pPr>
              <w:pStyle w:val="CellHeader"/>
              <w:jc w:val="center"/>
            </w:pPr>
            <w:r>
              <w:rPr>
                <w:rFonts w:cs="Times New Roman"/>
              </w:rPr>
              <w:t>Polazna vrijednost</w:t>
            </w:r>
          </w:p>
        </w:tc>
        <w:tc>
          <w:tcPr>
            <w:tcW w:w="918" w:type="dxa"/>
            <w:shd w:val="clear" w:color="auto" w:fill="B5C0D8"/>
          </w:tcPr>
          <w:p w:rsidR="000D3C60" w:rsidRDefault="00BD4D73">
            <w:pPr>
              <w:pStyle w:val="CellHeader"/>
              <w:jc w:val="center"/>
            </w:pPr>
            <w:r>
              <w:rPr>
                <w:rFonts w:cs="Times New Roman"/>
              </w:rPr>
              <w:t>Izvor podataka</w:t>
            </w:r>
          </w:p>
        </w:tc>
        <w:tc>
          <w:tcPr>
            <w:tcW w:w="1020" w:type="dxa"/>
            <w:shd w:val="clear" w:color="auto" w:fill="B5C0D8"/>
          </w:tcPr>
          <w:p w:rsidR="000D3C60" w:rsidRDefault="00BD4D73">
            <w:pPr>
              <w:pStyle w:val="CellHeader"/>
              <w:jc w:val="center"/>
            </w:pPr>
            <w:r>
              <w:rPr>
                <w:rFonts w:cs="Times New Roman"/>
              </w:rPr>
              <w:t>Ciljana vrijednost (2025.)</w:t>
            </w:r>
          </w:p>
        </w:tc>
        <w:tc>
          <w:tcPr>
            <w:tcW w:w="1020" w:type="dxa"/>
            <w:shd w:val="clear" w:color="auto" w:fill="B5C0D8"/>
          </w:tcPr>
          <w:p w:rsidR="000D3C60" w:rsidRDefault="00BD4D73">
            <w:pPr>
              <w:pStyle w:val="CellHeader"/>
              <w:jc w:val="center"/>
            </w:pPr>
            <w:r>
              <w:rPr>
                <w:rFonts w:cs="Times New Roman"/>
              </w:rPr>
              <w:t>Ostvarena vrijednost (2025.)</w:t>
            </w:r>
          </w:p>
        </w:tc>
      </w:tr>
      <w:tr w:rsidR="000D3C60">
        <w:trPr>
          <w:jc w:val="center"/>
        </w:trPr>
        <w:tc>
          <w:tcPr>
            <w:tcW w:w="2551" w:type="dxa"/>
          </w:tcPr>
          <w:p w:rsidR="000D3C60" w:rsidRDefault="00BD4D73">
            <w:pPr>
              <w:pStyle w:val="CellColumn"/>
              <w:jc w:val="left"/>
            </w:pPr>
            <w:r>
              <w:rPr>
                <w:rFonts w:cs="Times New Roman"/>
              </w:rPr>
              <w:t>Povećanje broja ždrebadi</w:t>
            </w:r>
          </w:p>
        </w:tc>
        <w:tc>
          <w:tcPr>
            <w:tcW w:w="2551" w:type="dxa"/>
          </w:tcPr>
          <w:p w:rsidR="000D3C60" w:rsidRDefault="00BD4D73">
            <w:pPr>
              <w:pStyle w:val="CellColumn"/>
              <w:jc w:val="left"/>
            </w:pPr>
            <w:r>
              <w:rPr>
                <w:rFonts w:cs="Times New Roman"/>
              </w:rPr>
              <w:t>Broj pripuštenih kobila</w:t>
            </w:r>
          </w:p>
        </w:tc>
        <w:tc>
          <w:tcPr>
            <w:tcW w:w="1020" w:type="dxa"/>
          </w:tcPr>
          <w:p w:rsidR="000D3C60" w:rsidRDefault="00BD4D73">
            <w:pPr>
              <w:pStyle w:val="CellColumn"/>
              <w:jc w:val="right"/>
            </w:pPr>
            <w:r>
              <w:rPr>
                <w:rFonts w:cs="Times New Roman"/>
              </w:rPr>
              <w:t>kom</w:t>
            </w:r>
          </w:p>
        </w:tc>
        <w:tc>
          <w:tcPr>
            <w:tcW w:w="1020" w:type="dxa"/>
          </w:tcPr>
          <w:p w:rsidR="000D3C60" w:rsidRDefault="00BD4D73">
            <w:pPr>
              <w:pStyle w:val="CellColumn"/>
              <w:jc w:val="right"/>
            </w:pPr>
            <w:r>
              <w:rPr>
                <w:rFonts w:cs="Times New Roman"/>
              </w:rPr>
              <w:t>15</w:t>
            </w:r>
          </w:p>
        </w:tc>
        <w:tc>
          <w:tcPr>
            <w:tcW w:w="1020" w:type="dxa"/>
          </w:tcPr>
          <w:p w:rsidR="000D3C60" w:rsidRDefault="00BD4D73">
            <w:pPr>
              <w:pStyle w:val="CellColumn"/>
              <w:jc w:val="right"/>
            </w:pPr>
            <w:r>
              <w:rPr>
                <w:rFonts w:cs="Times New Roman"/>
              </w:rPr>
              <w:t>Matična evidencija osnovnog stada</w:t>
            </w:r>
          </w:p>
        </w:tc>
        <w:tc>
          <w:tcPr>
            <w:tcW w:w="1020" w:type="dxa"/>
          </w:tcPr>
          <w:p w:rsidR="000D3C60" w:rsidRDefault="00BD4D73">
            <w:pPr>
              <w:pStyle w:val="CellColumn"/>
              <w:jc w:val="right"/>
            </w:pPr>
            <w:r>
              <w:rPr>
                <w:rFonts w:cs="Times New Roman"/>
              </w:rPr>
              <w:t>30</w:t>
            </w:r>
          </w:p>
        </w:tc>
        <w:tc>
          <w:tcPr>
            <w:tcW w:w="1020" w:type="dxa"/>
          </w:tcPr>
          <w:p w:rsidR="000D3C60" w:rsidRDefault="00BD4D73">
            <w:pPr>
              <w:pStyle w:val="CellColumn"/>
              <w:jc w:val="right"/>
            </w:pPr>
            <w:r>
              <w:rPr>
                <w:rFonts w:cs="Times New Roman"/>
              </w:rPr>
              <w:t>21</w:t>
            </w:r>
          </w:p>
        </w:tc>
      </w:tr>
    </w:tbl>
    <w:p w:rsidR="000D3C60" w:rsidRDefault="000D3C60">
      <w:pPr>
        <w:jc w:val="left"/>
      </w:pPr>
    </w:p>
    <w:p w:rsidR="000D3C60" w:rsidRDefault="00BD4D73">
      <w:pPr>
        <w:pStyle w:val="Naslov4"/>
      </w:pPr>
      <w:r>
        <w:t>A925001 ADMINISTRACIJA I UPRAVLJANJE DRŽAVNE ERGELE ĐAKOVO I LIPIK</w:t>
      </w:r>
    </w:p>
    <w:tbl>
      <w:tblPr>
        <w:tblStyle w:val="StilTablice"/>
        <w:tblW w:w="10206" w:type="dxa"/>
        <w:jc w:val="center"/>
        <w:tblLook w:val="04A0" w:firstRow="1" w:lastRow="0" w:firstColumn="1" w:lastColumn="0" w:noHBand="0" w:noVBand="1"/>
      </w:tblPr>
      <w:tblGrid>
        <w:gridCol w:w="1793"/>
        <w:gridCol w:w="1994"/>
        <w:gridCol w:w="1994"/>
        <w:gridCol w:w="1994"/>
        <w:gridCol w:w="1213"/>
        <w:gridCol w:w="1218"/>
      </w:tblGrid>
      <w:tr w:rsidR="000D3C60">
        <w:trPr>
          <w:jc w:val="center"/>
        </w:trPr>
        <w:tc>
          <w:tcPr>
            <w:tcW w:w="1632" w:type="dxa"/>
            <w:shd w:val="clear" w:color="auto" w:fill="B5C0D8"/>
          </w:tcPr>
          <w:p w:rsidR="000D3C60" w:rsidRDefault="00BD4D73">
            <w:pPr>
              <w:pStyle w:val="CellHeader"/>
              <w:jc w:val="center"/>
            </w:pPr>
            <w:r>
              <w:rPr>
                <w:rFonts w:cs="Times New Roman"/>
              </w:rPr>
              <w:t>Naziv aktivnosti</w:t>
            </w:r>
          </w:p>
        </w:tc>
        <w:tc>
          <w:tcPr>
            <w:tcW w:w="2041" w:type="dxa"/>
            <w:shd w:val="clear" w:color="auto" w:fill="B5C0D8"/>
          </w:tcPr>
          <w:p w:rsidR="000D3C60" w:rsidRDefault="00BD4D73">
            <w:pPr>
              <w:pStyle w:val="CellHeader"/>
              <w:jc w:val="center"/>
            </w:pPr>
            <w:r>
              <w:rPr>
                <w:rFonts w:cs="Times New Roman"/>
              </w:rPr>
              <w:t>Izvršenje 2024. (eur)</w:t>
            </w:r>
          </w:p>
        </w:tc>
        <w:tc>
          <w:tcPr>
            <w:tcW w:w="2041" w:type="dxa"/>
            <w:shd w:val="clear" w:color="auto" w:fill="B5C0D8"/>
          </w:tcPr>
          <w:p w:rsidR="000D3C60" w:rsidRDefault="00BD4D73">
            <w:pPr>
              <w:pStyle w:val="CellHeader"/>
              <w:jc w:val="center"/>
            </w:pPr>
            <w:r>
              <w:rPr>
                <w:rFonts w:cs="Times New Roman"/>
              </w:rPr>
              <w:t>Plan 2025. (eur)</w:t>
            </w:r>
          </w:p>
        </w:tc>
        <w:tc>
          <w:tcPr>
            <w:tcW w:w="2041" w:type="dxa"/>
            <w:shd w:val="clear" w:color="auto" w:fill="B5C0D8"/>
          </w:tcPr>
          <w:p w:rsidR="000D3C60" w:rsidRDefault="00BD4D73">
            <w:pPr>
              <w:pStyle w:val="CellHeader"/>
              <w:jc w:val="center"/>
            </w:pPr>
            <w:r>
              <w:rPr>
                <w:rFonts w:cs="Times New Roman"/>
              </w:rPr>
              <w:t>Izvršenje 2025. (eur)</w:t>
            </w:r>
          </w:p>
        </w:tc>
        <w:tc>
          <w:tcPr>
            <w:tcW w:w="1224" w:type="dxa"/>
            <w:shd w:val="clear" w:color="auto" w:fill="B5C0D8"/>
          </w:tcPr>
          <w:p w:rsidR="000D3C60" w:rsidRDefault="00BD4D73">
            <w:pPr>
              <w:pStyle w:val="CellHeader"/>
              <w:jc w:val="center"/>
            </w:pPr>
            <w:r>
              <w:rPr>
                <w:rFonts w:cs="Times New Roman"/>
              </w:rPr>
              <w:t>Indeks izvršenje 2025./plan 2025.</w:t>
            </w:r>
          </w:p>
        </w:tc>
        <w:tc>
          <w:tcPr>
            <w:tcW w:w="1224" w:type="dxa"/>
            <w:shd w:val="clear" w:color="auto" w:fill="B5C0D8"/>
          </w:tcPr>
          <w:p w:rsidR="000D3C60" w:rsidRDefault="00BD4D73">
            <w:pPr>
              <w:pStyle w:val="CellHeader"/>
              <w:jc w:val="center"/>
            </w:pPr>
            <w:r>
              <w:rPr>
                <w:rFonts w:cs="Times New Roman"/>
              </w:rPr>
              <w:t>Inde</w:t>
            </w:r>
            <w:r>
              <w:rPr>
                <w:rFonts w:cs="Times New Roman"/>
              </w:rPr>
              <w:t>ks izvršenje 2025./2024.</w:t>
            </w:r>
          </w:p>
        </w:tc>
      </w:tr>
      <w:tr w:rsidR="000D3C60">
        <w:trPr>
          <w:jc w:val="center"/>
        </w:trPr>
        <w:tc>
          <w:tcPr>
            <w:tcW w:w="1632" w:type="dxa"/>
          </w:tcPr>
          <w:p w:rsidR="000D3C60" w:rsidRDefault="00BD4D73">
            <w:pPr>
              <w:pStyle w:val="CellColumn"/>
              <w:jc w:val="left"/>
            </w:pPr>
            <w:r>
              <w:rPr>
                <w:rFonts w:cs="Times New Roman"/>
              </w:rPr>
              <w:t>A925001-ADMINISTRACIJA I UPRAVLJANJE DRŽAVNE ERGELE ĐAKOVO I LIPIK</w:t>
            </w:r>
          </w:p>
        </w:tc>
        <w:tc>
          <w:tcPr>
            <w:tcW w:w="2041" w:type="dxa"/>
          </w:tcPr>
          <w:p w:rsidR="000D3C60" w:rsidRDefault="00BD4D73">
            <w:pPr>
              <w:pStyle w:val="CellColumn"/>
              <w:jc w:val="right"/>
            </w:pPr>
            <w:r>
              <w:rPr>
                <w:rFonts w:cs="Times New Roman"/>
              </w:rPr>
              <w:t>3.463.960</w:t>
            </w:r>
          </w:p>
        </w:tc>
        <w:tc>
          <w:tcPr>
            <w:tcW w:w="2041" w:type="dxa"/>
          </w:tcPr>
          <w:p w:rsidR="000D3C60" w:rsidRDefault="00BD4D73">
            <w:pPr>
              <w:pStyle w:val="CellColumn"/>
              <w:jc w:val="right"/>
            </w:pPr>
            <w:r>
              <w:rPr>
                <w:rFonts w:cs="Times New Roman"/>
              </w:rPr>
              <w:t>7.681.359</w:t>
            </w:r>
          </w:p>
        </w:tc>
        <w:tc>
          <w:tcPr>
            <w:tcW w:w="2041" w:type="dxa"/>
          </w:tcPr>
          <w:p w:rsidR="000D3C60" w:rsidRDefault="00BD4D73">
            <w:pPr>
              <w:pStyle w:val="CellColumn"/>
              <w:jc w:val="right"/>
            </w:pPr>
            <w:r>
              <w:rPr>
                <w:rFonts w:cs="Times New Roman"/>
              </w:rPr>
              <w:t>7.596.843</w:t>
            </w:r>
          </w:p>
        </w:tc>
        <w:tc>
          <w:tcPr>
            <w:tcW w:w="1224" w:type="dxa"/>
          </w:tcPr>
          <w:p w:rsidR="000D3C60" w:rsidRDefault="00BD4D73">
            <w:pPr>
              <w:pStyle w:val="CellColumn"/>
              <w:jc w:val="right"/>
            </w:pPr>
            <w:r>
              <w:rPr>
                <w:rFonts w:cs="Times New Roman"/>
              </w:rPr>
              <w:t>98,9</w:t>
            </w:r>
          </w:p>
        </w:tc>
        <w:tc>
          <w:tcPr>
            <w:tcW w:w="1224" w:type="dxa"/>
          </w:tcPr>
          <w:p w:rsidR="000D3C60" w:rsidRDefault="00BD4D73">
            <w:pPr>
              <w:pStyle w:val="CellColumn"/>
              <w:jc w:val="right"/>
            </w:pPr>
            <w:r>
              <w:rPr>
                <w:rFonts w:cs="Times New Roman"/>
              </w:rPr>
              <w:t>219,3</w:t>
            </w:r>
          </w:p>
        </w:tc>
      </w:tr>
    </w:tbl>
    <w:p w:rsidR="000D3C60" w:rsidRDefault="000D3C60">
      <w:pPr>
        <w:jc w:val="left"/>
      </w:pPr>
    </w:p>
    <w:p w:rsidR="000D3C60" w:rsidRDefault="00BD4D73">
      <w:pPr>
        <w:pStyle w:val="Naslov8"/>
        <w:jc w:val="left"/>
      </w:pPr>
      <w:r>
        <w:t>Zakonske i druge pravne osnove</w:t>
      </w:r>
    </w:p>
    <w:p w:rsidR="000D3C60" w:rsidRDefault="00BD4D73">
      <w:r>
        <w:t>Zakonske i druge pravne osnove: • Uredba o Državnoj ergeli Đakovo i Lipik ( NN 26 / 2021 ) • Statut Državne ergele Đakovo i Lipik (2021.g.)</w:t>
      </w:r>
    </w:p>
    <w:p w:rsidR="000D3C60" w:rsidRDefault="00BD4D73">
      <w:pPr>
        <w:pStyle w:val="Naslov8"/>
        <w:jc w:val="left"/>
      </w:pPr>
      <w:r>
        <w:t>Opis aktivnosti</w:t>
      </w:r>
    </w:p>
    <w:p w:rsidR="000D3C60" w:rsidRDefault="00BD4D73">
      <w:r>
        <w:t xml:space="preserve">Ukupno planirani rashodi  trebaju podmiriti troškove plaća zaposlenih te materijalne troškove vezane za smještaj i skrb o konjima. Rashodi za zaposlene imaju velik udio u financijskom planu DEĐL-a budući je u DEĐL-u zaposleno 57 djelatnika, a u planu je i </w:t>
      </w:r>
      <w:r>
        <w:t>novo zapošljavanje za što je dobivena suglasnost nadležnog Ministarstva jer je potrebno osigurati svakodnevnu brigu za konje na tri lokacije što znači da zbog specifične djelatnosti uzgoja konja djelatnici rade 24 sata dnevno, sedam dana u tjednu, i iz tog</w:t>
      </w:r>
      <w:r>
        <w:t xml:space="preserve">a proizlazi prilično velik udio rashoda za zaposlene. Iz tog razloga </w:t>
      </w:r>
      <w:r>
        <w:lastRenderedPageBreak/>
        <w:t>obračunavaju se dodatne naknade za smjenski rad, za noćni rad, rad nedjeljom i praznikom i sl. Tijekom 2025.g. nastavljena je izgradnja ergele Lipik  kako bi se  osigurao vlastiti prostor</w:t>
      </w:r>
      <w:r>
        <w:t xml:space="preserve"> za smještaj konja, a time i smanjenje rashoda vezanih za zakup konjušnica. Isto tako potrebno je osigurati stalnu i cjelovitu veterinarsku skrb nad konjima kao i opskrbu raznim prehrambeno-vitaminskim dodacima za konje radi njihovog optimalnog uzgoja. DEĐ</w:t>
      </w:r>
      <w:r>
        <w:t xml:space="preserve">L obrađuje i poljoprivredne površine radi proizvodnje hrane za konje, te isto tako veliku stavku u planiranim rashodima ima nabava repromaterijala za poljoprivrednu proizvodnju kao i zakup poljoprivrednog zemljišta koje je u vlasništvu RH. </w:t>
      </w:r>
    </w:p>
    <w:p w:rsidR="000D3C60" w:rsidRDefault="00BD4D73">
      <w:r>
        <w:t>U ukupno ostvar</w:t>
      </w:r>
      <w:r>
        <w:t xml:space="preserve">enim prihodima u razdoblju od 01.01.-31.12.2025.godine  najveći dio čine  prihodi iz nadležnog proračuna kojima se osigurava redovna djelatnost ergele te nastavak započete investicije izgradnje ergele Lipik –faza II. </w:t>
      </w:r>
    </w:p>
    <w:p w:rsidR="000D3C60" w:rsidRDefault="00BD4D73">
      <w:r>
        <w:t>Riječ je o prihodima iz izvora 11 i 12</w:t>
      </w:r>
      <w:r>
        <w:t xml:space="preserve">. </w:t>
      </w:r>
    </w:p>
    <w:p w:rsidR="000D3C60" w:rsidRDefault="00BD4D73">
      <w:r>
        <w:t xml:space="preserve">Prihodi ostvareni na izvoru 11 iznose 6.882.772,43 EUR-a  i 79.634,00EUR-a na izvoru 12 za razdoblje 01.01.-31.12.2025.godine što čini cca 91 % ukupno planiranih prihoda za 2025.godinu iz izvora 11 i 12. </w:t>
      </w:r>
    </w:p>
    <w:p w:rsidR="000D3C60" w:rsidRDefault="00BD4D73">
      <w:r>
        <w:t>Prihodi iz izvora 31 ostvareni su u iznosu od 52</w:t>
      </w:r>
      <w:r>
        <w:t xml:space="preserve">4.699,52 EUR-a što iznosi nešto malo više od 4% prihoda planiranih na izvoru 31 za 2025.godinu.  </w:t>
      </w:r>
    </w:p>
    <w:p w:rsidR="000D3C60" w:rsidRDefault="00BD4D73">
      <w:r>
        <w:t>Prihodi iz izvora 52 odnose se na dodijeljene poljoprivredne potpore planirani su u iznosu od 132.500,00 EUR-a,  no međutim do kraja godine realizirani su isp</w:t>
      </w:r>
      <w:r>
        <w:t xml:space="preserve">od planiranog iznosa  prihoda. </w:t>
      </w:r>
    </w:p>
    <w:p w:rsidR="000D3C60" w:rsidRDefault="00BD4D73">
      <w:r>
        <w:t xml:space="preserve">Ukupno planirani  rashodi  za 2025.g. bili su 7.681.359,00 EUR-a. </w:t>
      </w:r>
    </w:p>
    <w:p w:rsidR="000D3C60" w:rsidRDefault="00BD4D73">
      <w:r>
        <w:t>U periodu od 01.01.-31.12.2025.godine rashodi poslovanja izvršeni su u iznosu od 2.460.659,80  EUR što čini 32 % ukupno planiranih rashoda poslovanja za 2025</w:t>
      </w:r>
      <w:r>
        <w:t xml:space="preserve">.godinu. </w:t>
      </w:r>
    </w:p>
    <w:p w:rsidR="000D3C60" w:rsidRDefault="00BD4D73">
      <w:r>
        <w:t xml:space="preserve">Rashodi za nabavu nefinancijske izvršeni su u iznosu od 5.136.182,85 EUR-a što iznosi porast  malo manji od 1%  planiranih rashoda za nabavu nefinancijske imovine u 2025.godini. </w:t>
      </w:r>
    </w:p>
    <w:p w:rsidR="000D3C60" w:rsidRDefault="00BD4D73">
      <w:r>
        <w:t xml:space="preserve">Rashodi u okviru razreda 3 i 4 izvršeni su  iz izvora 11,12,31,52. </w:t>
      </w:r>
    </w:p>
    <w:p w:rsidR="000D3C60" w:rsidRDefault="00BD4D73">
      <w:r>
        <w:t>Navedenim rashodima financirani su rashodi za zaposlene, materijalni rashodi, rashodi za nabavu proizvedene dugotrajne imovine te ostali rashodi kojima se osigurava redovan i neometan rad Državne ergele Đakovo i Lipik.Redovan rad odnosno djelatnost ergele</w:t>
      </w:r>
      <w:r>
        <w:t xml:space="preserve"> podrazumijeva svakodnevnu brigu i skrb o konjima 24h dnevno te isto tako nabavu repromaterijala, opreme i strojeva te njihovo održavanje i popravak  kako bi se organizirala i sprovela poljoprivredna proizvodnja neophodna za osiguravanje osnovne  prehrane </w:t>
      </w:r>
      <w:r>
        <w:t xml:space="preserve">za konje. </w:t>
      </w:r>
    </w:p>
    <w:p w:rsidR="000D3C60" w:rsidRDefault="00BD4D73">
      <w:r>
        <w:t>U  izvršenju financijskog plana za razdoblje od 01.01.-31.12.2025.godine nema primitaka od financijske imovine i zaduživanja budući nisu niti planirani primici od financijske imovine i zaduživanja, te izdaci za financijsku imovinu i  otplatu kre</w:t>
      </w:r>
      <w:r>
        <w:t xml:space="preserve">dita i zajmova. </w:t>
      </w:r>
    </w:p>
    <w:p w:rsidR="000D3C60" w:rsidRDefault="00BD4D73">
      <w:r>
        <w:t xml:space="preserve"> </w:t>
      </w:r>
    </w:p>
    <w:p w:rsidR="000D3C60" w:rsidRDefault="00BD4D73">
      <w:r>
        <w:t xml:space="preserve"> </w:t>
      </w:r>
    </w:p>
    <w:p w:rsidR="000D3C60" w:rsidRDefault="00BD4D73">
      <w:r>
        <w:t xml:space="preserve">PRIJENOS SREDSTAVA IZ PRETHODNE I U SLJEDEĆU GODINU </w:t>
      </w:r>
    </w:p>
    <w:p w:rsidR="000D3C60" w:rsidRDefault="00BD4D73">
      <w:r>
        <w:t xml:space="preserve">U  2025.godinu je  izvršen donos vlastitih neutrošenih sredstava iz  2024.godine u iznosu od 552.137,88  EUR-a. </w:t>
      </w:r>
    </w:p>
    <w:p w:rsidR="000D3C60" w:rsidRDefault="00BD4D73">
      <w:r>
        <w:t>Riječ je o sredstvima na izvorima 31, 52 i 61 ostvarenim, a neutrošen</w:t>
      </w:r>
      <w:r>
        <w:t xml:space="preserve">im u proteklom razdoblju. </w:t>
      </w:r>
    </w:p>
    <w:p w:rsidR="000D3C60" w:rsidRDefault="00BD4D73">
      <w:r>
        <w:t xml:space="preserve">Izvor 31=471.765,76 EUR </w:t>
      </w:r>
    </w:p>
    <w:p w:rsidR="000D3C60" w:rsidRDefault="00BD4D73">
      <w:r>
        <w:t xml:space="preserve">Izvor 52=79.480,14 EUR </w:t>
      </w:r>
    </w:p>
    <w:p w:rsidR="000D3C60" w:rsidRDefault="00BD4D73">
      <w:r>
        <w:t xml:space="preserve">Izvor 61=     891,98 EUR </w:t>
      </w:r>
    </w:p>
    <w:p w:rsidR="000D3C60" w:rsidRDefault="00BD4D73">
      <w:r>
        <w:t xml:space="preserve">Ukupno: 552.137,88 EUR </w:t>
      </w:r>
    </w:p>
    <w:p w:rsidR="000D3C60" w:rsidRDefault="00BD4D73">
      <w:r>
        <w:t xml:space="preserve"> </w:t>
      </w:r>
    </w:p>
    <w:p w:rsidR="000D3C60" w:rsidRDefault="00BD4D73">
      <w:r>
        <w:t xml:space="preserve">Na kraju 2025.godine vlastita sredstva za prijenos u iduću godinu koja su ostala neutrošena u 2025.godini su : </w:t>
      </w:r>
    </w:p>
    <w:p w:rsidR="000D3C60" w:rsidRDefault="00BD4D73">
      <w:r>
        <w:t xml:space="preserve">Izvor 31=494.653,25 EUR </w:t>
      </w:r>
    </w:p>
    <w:p w:rsidR="000D3C60" w:rsidRDefault="00BD4D73">
      <w:r>
        <w:t xml:space="preserve">Izvor 5012=14.250,00 EUR </w:t>
      </w:r>
    </w:p>
    <w:p w:rsidR="000D3C60" w:rsidRDefault="00BD4D73">
      <w:r>
        <w:t xml:space="preserve">Izvor 56511=80.750,35 EUR </w:t>
      </w:r>
    </w:p>
    <w:p w:rsidR="000D3C60" w:rsidRDefault="00BD4D73">
      <w:r>
        <w:t xml:space="preserve">Izvor 61=1.214,19 EUR </w:t>
      </w:r>
    </w:p>
    <w:p w:rsidR="000D3C60" w:rsidRDefault="00BD4D73">
      <w:r>
        <w:t xml:space="preserve">Ukupno:590.867,79 EUR </w:t>
      </w:r>
    </w:p>
    <w:p w:rsidR="000D3C60" w:rsidRDefault="00BD4D73">
      <w:r>
        <w:lastRenderedPageBreak/>
        <w:t xml:space="preserve"> </w:t>
      </w:r>
    </w:p>
    <w:p w:rsidR="000D3C60" w:rsidRDefault="00BD4D73">
      <w:r>
        <w:t xml:space="preserve">UKUPNE I DOSPJELE OBVEZE </w:t>
      </w:r>
    </w:p>
    <w:p w:rsidR="000D3C60" w:rsidRDefault="00BD4D73">
      <w:r>
        <w:t xml:space="preserve"> </w:t>
      </w:r>
    </w:p>
    <w:p w:rsidR="000D3C60" w:rsidRDefault="00BD4D73">
      <w:r>
        <w:t>DEĐL</w:t>
      </w:r>
      <w:r>
        <w:tab/>
        <w:t xml:space="preserve">Stanje obveza na dan 31.12.2025. </w:t>
      </w:r>
    </w:p>
    <w:p w:rsidR="000D3C60" w:rsidRDefault="00BD4D73">
      <w:r>
        <w:t>Ukupne obveze EUR</w:t>
      </w:r>
      <w:r>
        <w:tab/>
        <w:t xml:space="preserve">177.242,87 EUR </w:t>
      </w:r>
    </w:p>
    <w:p w:rsidR="000D3C60" w:rsidRDefault="00BD4D73">
      <w:r>
        <w:t>Dospjele obveze EUR</w:t>
      </w:r>
      <w:r>
        <w:tab/>
        <w:t xml:space="preserve">800,00 EUR </w:t>
      </w:r>
    </w:p>
    <w:p w:rsidR="000D3C60" w:rsidRDefault="00BD4D73">
      <w:r>
        <w:t xml:space="preserve"> </w:t>
      </w:r>
    </w:p>
    <w:p w:rsidR="000D3C60" w:rsidRDefault="00BD4D73">
      <w:r>
        <w:t xml:space="preserve"> </w:t>
      </w:r>
    </w:p>
    <w:p w:rsidR="000D3C60" w:rsidRDefault="00BD4D73">
      <w:r>
        <w:t xml:space="preserve">Dospjele obveze za rashode poslovanja odnose se na račune dobavljača čija je valuta plaćanja kratka. </w:t>
      </w:r>
    </w:p>
    <w:p w:rsidR="000D3C60" w:rsidRDefault="00BD4D73">
      <w:r>
        <w:t>U ovom slučaju riječ je o računu za članarinu za 2025.godinu u ESSI (Europsko udruženje državnih ergela konja), koji j</w:t>
      </w:r>
      <w:r>
        <w:t xml:space="preserve">e zaprimljen pred kraj godine. </w:t>
      </w:r>
    </w:p>
    <w:p w:rsidR="000D3C60" w:rsidRDefault="00BD4D73">
      <w:r>
        <w:t xml:space="preserve"> </w:t>
      </w:r>
    </w:p>
    <w:p w:rsidR="000D3C60" w:rsidRDefault="00BD4D73">
      <w:r>
        <w:t xml:space="preserve">Nedospjele obveze obuhvaćaju: </w:t>
      </w:r>
    </w:p>
    <w:p w:rsidR="000D3C60" w:rsidRDefault="00BD4D73">
      <w:r>
        <w:t>•</w:t>
      </w:r>
      <w:r>
        <w:tab/>
        <w:t xml:space="preserve">Obveze za zaposlene odnose se na obvezu za plaću za mjesec prosinac 2025.godine  čija isplata dospijeva u siječnju 2026.godine </w:t>
      </w:r>
    </w:p>
    <w:p w:rsidR="000D3C60" w:rsidRDefault="00BD4D73">
      <w:r>
        <w:t>•</w:t>
      </w:r>
      <w:r>
        <w:tab/>
        <w:t xml:space="preserve">Obveze za materijalne rashode obuhvaćaju režijske troškove </w:t>
      </w:r>
      <w:r>
        <w:t xml:space="preserve">za prosinac 2025.g. i ostale troškove poslovanja nastale u prosincu čije dospijeće je  u  siječnju 2026.godine. </w:t>
      </w:r>
    </w:p>
    <w:p w:rsidR="000D3C60" w:rsidRDefault="00BD4D73">
      <w:r>
        <w:t>•</w:t>
      </w:r>
      <w:r>
        <w:tab/>
        <w:t>Međusobne obveze proračunskih korisnika prikazuju obveze DEĐL-a za povrat sredstava u Državni proračun, a koja se odnose na refundacije bolov</w:t>
      </w:r>
      <w:r>
        <w:t>anja upućene prema HZZO-u i koja su međusobno usklađena.</w:t>
      </w:r>
    </w:p>
    <w:p w:rsidR="000D3C60" w:rsidRDefault="00BD4D73">
      <w:pPr>
        <w:pStyle w:val="Naslov8"/>
        <w:jc w:val="left"/>
      </w:pPr>
      <w:r>
        <w:t>Pokazatelji rezultata</w:t>
      </w:r>
    </w:p>
    <w:tbl>
      <w:tblPr>
        <w:tblStyle w:val="StilTablice"/>
        <w:tblW w:w="10206" w:type="dxa"/>
        <w:jc w:val="center"/>
        <w:tblLook w:val="04A0" w:firstRow="1" w:lastRow="0" w:firstColumn="1" w:lastColumn="0" w:noHBand="0" w:noVBand="1"/>
      </w:tblPr>
      <w:tblGrid>
        <w:gridCol w:w="2553"/>
        <w:gridCol w:w="2553"/>
        <w:gridCol w:w="1020"/>
        <w:gridCol w:w="1020"/>
        <w:gridCol w:w="1020"/>
        <w:gridCol w:w="1020"/>
        <w:gridCol w:w="1020"/>
      </w:tblGrid>
      <w:tr w:rsidR="000D3C60">
        <w:trPr>
          <w:jc w:val="center"/>
        </w:trPr>
        <w:tc>
          <w:tcPr>
            <w:tcW w:w="2551" w:type="dxa"/>
            <w:shd w:val="clear" w:color="auto" w:fill="B5C0D8"/>
          </w:tcPr>
          <w:p w:rsidR="000D3C60" w:rsidRDefault="00BD4D73">
            <w:pPr>
              <w:jc w:val="center"/>
            </w:pPr>
            <w:r>
              <w:t>Pokazatelj rezultata</w:t>
            </w:r>
          </w:p>
        </w:tc>
        <w:tc>
          <w:tcPr>
            <w:tcW w:w="2551" w:type="dxa"/>
            <w:shd w:val="clear" w:color="auto" w:fill="B5C0D8"/>
          </w:tcPr>
          <w:p w:rsidR="000D3C60" w:rsidRDefault="00BD4D73">
            <w:pPr>
              <w:pStyle w:val="CellHeader"/>
              <w:jc w:val="center"/>
            </w:pPr>
            <w:r>
              <w:rPr>
                <w:rFonts w:cs="Times New Roman"/>
              </w:rPr>
              <w:t>Definicija</w:t>
            </w:r>
          </w:p>
        </w:tc>
        <w:tc>
          <w:tcPr>
            <w:tcW w:w="1020" w:type="dxa"/>
            <w:shd w:val="clear" w:color="auto" w:fill="B5C0D8"/>
          </w:tcPr>
          <w:p w:rsidR="000D3C60" w:rsidRDefault="00BD4D73">
            <w:pPr>
              <w:pStyle w:val="CellHeader"/>
              <w:jc w:val="center"/>
            </w:pPr>
            <w:r>
              <w:rPr>
                <w:rFonts w:cs="Times New Roman"/>
              </w:rPr>
              <w:t>Jedinica</w:t>
            </w:r>
          </w:p>
        </w:tc>
        <w:tc>
          <w:tcPr>
            <w:tcW w:w="1020" w:type="dxa"/>
            <w:shd w:val="clear" w:color="auto" w:fill="B5C0D8"/>
          </w:tcPr>
          <w:p w:rsidR="000D3C60" w:rsidRDefault="00BD4D73">
            <w:pPr>
              <w:pStyle w:val="CellHeader"/>
              <w:jc w:val="center"/>
            </w:pPr>
            <w:r>
              <w:rPr>
                <w:rFonts w:cs="Times New Roman"/>
              </w:rPr>
              <w:t>Polazna vrijednost</w:t>
            </w:r>
          </w:p>
        </w:tc>
        <w:tc>
          <w:tcPr>
            <w:tcW w:w="1020" w:type="dxa"/>
            <w:shd w:val="clear" w:color="auto" w:fill="B5C0D8"/>
          </w:tcPr>
          <w:p w:rsidR="000D3C60" w:rsidRDefault="00BD4D73">
            <w:pPr>
              <w:pStyle w:val="CellHeader"/>
              <w:jc w:val="center"/>
            </w:pPr>
            <w:r>
              <w:rPr>
                <w:rFonts w:cs="Times New Roman"/>
              </w:rPr>
              <w:t>Izvor podataka</w:t>
            </w:r>
          </w:p>
        </w:tc>
        <w:tc>
          <w:tcPr>
            <w:tcW w:w="1020" w:type="dxa"/>
            <w:shd w:val="clear" w:color="auto" w:fill="B5C0D8"/>
          </w:tcPr>
          <w:p w:rsidR="000D3C60" w:rsidRDefault="00BD4D73">
            <w:pPr>
              <w:pStyle w:val="CellHeader"/>
              <w:jc w:val="center"/>
            </w:pPr>
            <w:r>
              <w:rPr>
                <w:rFonts w:cs="Times New Roman"/>
              </w:rPr>
              <w:t>Ciljana vrijednost (2025.)</w:t>
            </w:r>
          </w:p>
        </w:tc>
        <w:tc>
          <w:tcPr>
            <w:tcW w:w="1020" w:type="dxa"/>
            <w:shd w:val="clear" w:color="auto" w:fill="B5C0D8"/>
          </w:tcPr>
          <w:p w:rsidR="000D3C60" w:rsidRDefault="00BD4D73">
            <w:pPr>
              <w:pStyle w:val="CellHeader"/>
              <w:jc w:val="center"/>
            </w:pPr>
            <w:r>
              <w:rPr>
                <w:rFonts w:cs="Times New Roman"/>
              </w:rPr>
              <w:t>Ostvarena vrijednost (2025.)</w:t>
            </w:r>
          </w:p>
        </w:tc>
      </w:tr>
      <w:tr w:rsidR="000D3C60">
        <w:trPr>
          <w:jc w:val="center"/>
        </w:trPr>
        <w:tc>
          <w:tcPr>
            <w:tcW w:w="2551" w:type="dxa"/>
          </w:tcPr>
          <w:p w:rsidR="000D3C60" w:rsidRDefault="00BD4D73">
            <w:pPr>
              <w:pStyle w:val="CellColumn"/>
              <w:jc w:val="left"/>
            </w:pPr>
            <w:r>
              <w:rPr>
                <w:rFonts w:cs="Times New Roman"/>
              </w:rPr>
              <w:t>Povećanje broja ždrebadi</w:t>
            </w:r>
          </w:p>
        </w:tc>
        <w:tc>
          <w:tcPr>
            <w:tcW w:w="2551" w:type="dxa"/>
          </w:tcPr>
          <w:p w:rsidR="000D3C60" w:rsidRDefault="00BD4D73">
            <w:pPr>
              <w:pStyle w:val="CellColumn"/>
              <w:jc w:val="left"/>
            </w:pPr>
            <w:r>
              <w:rPr>
                <w:rFonts w:cs="Times New Roman"/>
              </w:rPr>
              <w:t>Broj pripuštenih kobila</w:t>
            </w:r>
          </w:p>
        </w:tc>
        <w:tc>
          <w:tcPr>
            <w:tcW w:w="1020" w:type="dxa"/>
          </w:tcPr>
          <w:p w:rsidR="000D3C60" w:rsidRDefault="00BD4D73">
            <w:pPr>
              <w:pStyle w:val="CellColumn"/>
              <w:jc w:val="right"/>
            </w:pPr>
            <w:r>
              <w:rPr>
                <w:rFonts w:cs="Times New Roman"/>
              </w:rPr>
              <w:t>kom</w:t>
            </w:r>
          </w:p>
        </w:tc>
        <w:tc>
          <w:tcPr>
            <w:tcW w:w="1020" w:type="dxa"/>
          </w:tcPr>
          <w:p w:rsidR="000D3C60" w:rsidRDefault="00BD4D73">
            <w:pPr>
              <w:pStyle w:val="CellColumn"/>
              <w:jc w:val="right"/>
            </w:pPr>
            <w:r>
              <w:rPr>
                <w:rFonts w:cs="Times New Roman"/>
              </w:rPr>
              <w:t>15</w:t>
            </w:r>
          </w:p>
        </w:tc>
        <w:tc>
          <w:tcPr>
            <w:tcW w:w="1020" w:type="dxa"/>
          </w:tcPr>
          <w:p w:rsidR="000D3C60" w:rsidRDefault="00BD4D73">
            <w:pPr>
              <w:pStyle w:val="CellColumn"/>
              <w:jc w:val="right"/>
            </w:pPr>
            <w:r>
              <w:rPr>
                <w:rFonts w:cs="Times New Roman"/>
              </w:rPr>
              <w:t>Matična evidencija osnovnog stada</w:t>
            </w:r>
          </w:p>
        </w:tc>
        <w:tc>
          <w:tcPr>
            <w:tcW w:w="1020" w:type="dxa"/>
          </w:tcPr>
          <w:p w:rsidR="000D3C60" w:rsidRDefault="00BD4D73">
            <w:pPr>
              <w:pStyle w:val="CellColumn"/>
              <w:jc w:val="right"/>
            </w:pPr>
            <w:r>
              <w:rPr>
                <w:rFonts w:cs="Times New Roman"/>
              </w:rPr>
              <w:t>30</w:t>
            </w:r>
          </w:p>
        </w:tc>
        <w:tc>
          <w:tcPr>
            <w:tcW w:w="1020" w:type="dxa"/>
          </w:tcPr>
          <w:p w:rsidR="000D3C60" w:rsidRDefault="00BD4D73">
            <w:pPr>
              <w:pStyle w:val="CellColumn"/>
              <w:jc w:val="right"/>
            </w:pPr>
            <w:r>
              <w:rPr>
                <w:rFonts w:cs="Times New Roman"/>
              </w:rPr>
              <w:t>21</w:t>
            </w:r>
          </w:p>
        </w:tc>
      </w:tr>
    </w:tbl>
    <w:p w:rsidR="000D3C60" w:rsidRDefault="000D3C60">
      <w:pPr>
        <w:jc w:val="left"/>
      </w:pPr>
    </w:p>
    <w:sectPr w:rsidR="000D3C60"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4D73" w:rsidRDefault="00BD4D73" w:rsidP="00F352E6">
      <w:r>
        <w:separator/>
      </w:r>
    </w:p>
  </w:endnote>
  <w:endnote w:type="continuationSeparator" w:id="0">
    <w:p w:rsidR="00BD4D73" w:rsidRDefault="00BD4D73"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98" w:rsidRPr="00D769ED" w:rsidRDefault="00BD4D73" w:rsidP="007D4430">
    <w:pPr>
      <w:pStyle w:val="Podnoje"/>
      <w:pBdr>
        <w:top w:val="none" w:sz="0" w:space="0" w:color="auto"/>
      </w:pBd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4D73" w:rsidRDefault="00BD4D73" w:rsidP="00F352E6">
      <w:r>
        <w:separator/>
      </w:r>
    </w:p>
  </w:footnote>
  <w:footnote w:type="continuationSeparator" w:id="0">
    <w:p w:rsidR="00BD4D73" w:rsidRDefault="00BD4D73" w:rsidP="00F35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898" w:rsidRDefault="00BD4D73"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0D3C60"/>
    <w:rsid w:val="0010779D"/>
    <w:rsid w:val="0013155A"/>
    <w:rsid w:val="0017490A"/>
    <w:rsid w:val="001E5246"/>
    <w:rsid w:val="0027042C"/>
    <w:rsid w:val="00311AA1"/>
    <w:rsid w:val="00382225"/>
    <w:rsid w:val="00386953"/>
    <w:rsid w:val="00463609"/>
    <w:rsid w:val="00480C76"/>
    <w:rsid w:val="004C01B5"/>
    <w:rsid w:val="0052289C"/>
    <w:rsid w:val="00524A66"/>
    <w:rsid w:val="00526A7C"/>
    <w:rsid w:val="005A70C0"/>
    <w:rsid w:val="005B6ED7"/>
    <w:rsid w:val="005E2D85"/>
    <w:rsid w:val="00633683"/>
    <w:rsid w:val="00674346"/>
    <w:rsid w:val="006B3283"/>
    <w:rsid w:val="007026A8"/>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D4D73"/>
    <w:rsid w:val="00BF02E9"/>
    <w:rsid w:val="00BF3F24"/>
    <w:rsid w:val="00C7470A"/>
    <w:rsid w:val="00DE2416"/>
    <w:rsid w:val="00E42E87"/>
    <w:rsid w:val="00E62EF0"/>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Tekstbalonia">
    <w:name w:val="Balloon Text"/>
    <w:basedOn w:val="Normal"/>
    <w:link w:val="TekstbaloniaChar"/>
    <w:uiPriority w:val="99"/>
    <w:semiHidden/>
    <w:unhideWhenUsed/>
    <w:rsid w:val="007026A8"/>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026A8"/>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5A155-584B-4BB3-B2E4-9A45B779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1525</Words>
  <Characters>8693</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Nina</cp:lastModifiedBy>
  <cp:revision>2</cp:revision>
  <cp:lastPrinted>2026-03-04T11:47:00Z</cp:lastPrinted>
  <dcterms:created xsi:type="dcterms:W3CDTF">2026-03-04T11:48:00Z</dcterms:created>
  <dcterms:modified xsi:type="dcterms:W3CDTF">2026-03-04T11:48:00Z</dcterms:modified>
</cp:coreProperties>
</file>