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E528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E5283" w:rsidRDefault="00E33A8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E5283" w:rsidRDefault="00E33A85">
            <w:pPr>
              <w:spacing w:after="0" w:line="240" w:lineRule="auto"/>
            </w:pPr>
            <w:r>
              <w:t>48103</w:t>
            </w:r>
          </w:p>
        </w:tc>
      </w:tr>
      <w:tr w:rsidR="005E528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E5283" w:rsidRDefault="00E33A8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E5283" w:rsidRDefault="00E33A85">
            <w:pPr>
              <w:spacing w:after="0" w:line="240" w:lineRule="auto"/>
            </w:pPr>
            <w:r>
              <w:t>DRŽAVNA ERGELA ĐAKOVO I LIPIK</w:t>
            </w:r>
          </w:p>
        </w:tc>
      </w:tr>
      <w:tr w:rsidR="005E528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E5283" w:rsidRDefault="00E33A8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E5283" w:rsidRDefault="00E33A85">
            <w:pPr>
              <w:spacing w:after="0" w:line="240" w:lineRule="auto"/>
            </w:pPr>
            <w:r>
              <w:t>11</w:t>
            </w:r>
          </w:p>
        </w:tc>
      </w:tr>
    </w:tbl>
    <w:p w:rsidR="005E5283" w:rsidRDefault="00E33A85">
      <w:r>
        <w:br/>
      </w:r>
    </w:p>
    <w:p w:rsidR="005E5283" w:rsidRDefault="00E33A8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E5283" w:rsidRDefault="00E33A8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E5283" w:rsidRDefault="00E33A8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3.227.147,21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7.386.952,15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228,9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2.264.655,17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2.794.129,58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5E52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962.492,04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4.592.822,57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477,2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16.761,92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86.476,15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515,9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975.837,51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4.684.795,81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480,1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5E52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959.075,59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4.598.319,66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479,5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5E52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5E52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5.497,09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Manjak prihoda od nefinancijske imovine najvećim je dijelom rezultat izgradnja ergele Lipik (faza II.),  te isto tako i pripremne radnje za početak investicije izgradnje dvorane za športsko-rekreacijsku namjenu u Đakovu.</w:t>
      </w:r>
    </w:p>
    <w:p w:rsidR="005E5283" w:rsidRDefault="00E33A85">
      <w:r>
        <w:t xml:space="preserve">Tijekom 2025.godine od većih ulaganja u  nefinancijsku imovinu možemo izdvojiti slijedeće: nabava </w:t>
      </w:r>
      <w:proofErr w:type="spellStart"/>
      <w:r>
        <w:t>sitnilice</w:t>
      </w:r>
      <w:proofErr w:type="spellEnd"/>
      <w:r>
        <w:t xml:space="preserve"> biljnih ostataka, </w:t>
      </w:r>
      <w:proofErr w:type="spellStart"/>
      <w:r>
        <w:t>puhalnik</w:t>
      </w:r>
      <w:proofErr w:type="spellEnd"/>
      <w:r>
        <w:t xml:space="preserve"> za žitarice, pojilice </w:t>
      </w:r>
      <w:proofErr w:type="spellStart"/>
      <w:r>
        <w:t>termoduo</w:t>
      </w:r>
      <w:proofErr w:type="spellEnd"/>
      <w:r>
        <w:t xml:space="preserve">, hranilice za konje. </w:t>
      </w:r>
      <w:r>
        <w:lastRenderedPageBreak/>
        <w:t xml:space="preserve">Izrađena je ograda ispusta za poni konje, okrugli </w:t>
      </w:r>
      <w:proofErr w:type="spellStart"/>
      <w:r>
        <w:t>lonžirni</w:t>
      </w:r>
      <w:proofErr w:type="spellEnd"/>
      <w:r>
        <w:t xml:space="preserve"> </w:t>
      </w:r>
      <w:proofErr w:type="spellStart"/>
      <w:r>
        <w:t>manjež</w:t>
      </w:r>
      <w:proofErr w:type="spellEnd"/>
      <w:r>
        <w:t xml:space="preserve">, zamijenjeni su dotrajali  i postavljeni novi korali na </w:t>
      </w:r>
      <w:proofErr w:type="spellStart"/>
      <w:r>
        <w:t>Ivandvoru</w:t>
      </w:r>
      <w:proofErr w:type="spellEnd"/>
      <w:r>
        <w:t>.</w:t>
      </w:r>
    </w:p>
    <w:p w:rsidR="005E5283" w:rsidRDefault="00E33A85">
      <w:r>
        <w:t>Dva  su uvjeta za provođenje I.  obvezne korekcije za kapitalni prijenos sredstava u 2025.godini  bila zadovoljena, a to su:</w:t>
      </w:r>
    </w:p>
    <w:p w:rsidR="005E5283" w:rsidRDefault="00E33A85">
      <w:r>
        <w:t> </w:t>
      </w:r>
    </w:p>
    <w:p w:rsidR="005E5283" w:rsidRDefault="00E33A85">
      <w:r>
        <w:t>-          Uplaćeni prihodi razreda 6 tijekom 2025.godine evidentirani su i odnose se na kapitalne prijenose sredstava (izgradnja ergele Lipik-faza II ).</w:t>
      </w:r>
    </w:p>
    <w:p w:rsidR="005E5283" w:rsidRDefault="00E33A85">
      <w:r>
        <w:t>-          Tijekom 2025.godine evidentirana je primljena nefinancijska imovina i priznati rashodi za nabavu nefinancijske imovine razreda 4.</w:t>
      </w:r>
    </w:p>
    <w:p w:rsidR="005E5283" w:rsidRDefault="00E33A85">
      <w:r>
        <w:t>Budući  su sredstva za nabavu nefinancijske imovine primljena tijekom 2025.godine i evidentirana na razredu 6, utjecala na ostvarivanje rezultata od redovnog poslovanja, a utrošena za nabavu nefinancijske imovine razreda 4 ( 42129-Poslovni objekti),  provedena je  I. obvezna korekcija rezultata.</w:t>
      </w:r>
    </w:p>
    <w:p w:rsidR="005E5283" w:rsidRDefault="00E33A85">
      <w:r>
        <w:t> </w:t>
      </w:r>
    </w:p>
    <w:p w:rsidR="005E5283" w:rsidRDefault="00E33A85">
      <w:r>
        <w:t>Rezultat provedenih zaključnih knjiženja i  </w:t>
      </w:r>
      <w:proofErr w:type="spellStart"/>
      <w:r>
        <w:t>I</w:t>
      </w:r>
      <w:proofErr w:type="spellEnd"/>
      <w:r>
        <w:t>.  obvezne korekcije rezultata je podatak u Bilanci o višku prihoda poslovanja koji se prenosi u iduću godinu na kontu 92211=677.534,20 EUR-a.</w:t>
      </w:r>
    </w:p>
    <w:p w:rsidR="005E5283" w:rsidRDefault="00E33A85">
      <w:r>
        <w:t> </w:t>
      </w:r>
    </w:p>
    <w:p w:rsidR="005E5283" w:rsidRDefault="00E33A85">
      <w:r>
        <w:br/>
      </w:r>
    </w:p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2.769.456,28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6.962.517,01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251,4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Prihodi iz nadležnog proračuna su znatno veći u odnosu na prošlu godinu radi provedbe izgradnje ergele Lipik -faza II za čiju su izgradnju sredstva i planirana u financijskom planu DEĐL-a u okviru razreda 4, skupine 421, odjeljka 4212.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89.468,65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516.308,59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577,1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lastRenderedPageBreak/>
        <w:t>Do povećanja ostalih nespomenutih rashoda poslovanja najvećim dijelom došlo je zbog Poreznog nadzora obračunavanja, evidentiranja, prijavljivanja i plaćanja poreza na dodanu vrijednost.</w:t>
      </w:r>
    </w:p>
    <w:p w:rsidR="005E5283" w:rsidRDefault="00E33A85">
      <w:proofErr w:type="spellStart"/>
      <w:r>
        <w:t>Naime,nadzorom</w:t>
      </w:r>
      <w:proofErr w:type="spellEnd"/>
      <w:r>
        <w:t xml:space="preserve"> je utvrđeno da budući smo obveznici PDV-a nismo u mogućnosti priznavati sav pretporez nego tek 9 % što je rezultiralo povećanjem ovih rashoda koji u sebi  najvećim dijelom sadržavaju nepriznati dio pretporeza.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 xml:space="preserve">Zatezne kamate povećane su radi provedenog Poreznog nadzora obračunavanja, evidentiranja, prijavljivanja i plaćanja poreza na dodanu vrijednost kojim je utvrđeno postojanje pretporeza koji je priznat u mjesečnim prijavama obračuna poreza na dodanu vrijednost, a poreznim nadzorom je utvrđeno da je trebao biti u manjem iznosu, stoga smo radili korekcije obračuna poreza na dodanu vrijednost te </w:t>
      </w:r>
      <w:proofErr w:type="spellStart"/>
      <w:r>
        <w:t>zaknjižili</w:t>
      </w:r>
      <w:proofErr w:type="spellEnd"/>
      <w:r>
        <w:t xml:space="preserve"> i platili zatezne kamate 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višegodišnjih nasada i osnovnog stada (šifre 7251+7252)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16.761,92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86.476,15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515,9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Prodan je veći broj konja čiji potencijal prema procjeni uzgojnog programa nije više zanimljiv za daljnji rasplod i trening na ergelama Đakovo i Lipik.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975.837,51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4.684.795,81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480,1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Provedenim javnim natječajem izabran je izvođač radova na izgradnji ergele Lipik-faza II,  te su tijekom 2025.godine izdali osam privremenih situacija za izvršene radove, a isto tako na javnom natječaju je izabran i nadzor koji je ispostavio privremene situacije za nadzor građevinskih radova.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18.470,99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4.651.729,90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Vrijednost dugotrajne nefinancijske imovine u pripremi povećana je radi nastavka izgradnje ergele Lipik za čiji je nastavak gradnje ( faza II ) proveden postupak javne nabave NMV 02/2025 te je sklopljen i ugovor o izgradnji  ergele sa VENKA GRADNJA d.o.o. iz  Novske. Radovi još nisu okončani, a tako nije izdana ni okončana situacija te nije bilo u mogućnosti staviti u upotrebu.</w:t>
      </w:r>
    </w:p>
    <w:p w:rsidR="005E5283" w:rsidRDefault="00E33A85">
      <w:r>
        <w:t>Isto tako započele su i pripremne radnje na izgradnji zgrade  športsko-rekreacijske namjene(2.B skupine)-dvorana za konjičke sportove.</w:t>
      </w:r>
    </w:p>
    <w:p w:rsidR="005E5283" w:rsidRDefault="00E33A85">
      <w:r>
        <w:t>Izdana je građevinska dozvola i izrađena projektna dokumentacija, te je plaćen komunalni doprinos.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461.999,76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1925,0</w:t>
            </w:r>
          </w:p>
        </w:tc>
      </w:tr>
    </w:tbl>
    <w:p w:rsidR="005E5283" w:rsidRDefault="005E5283">
      <w:pPr>
        <w:spacing w:after="0"/>
      </w:pPr>
    </w:p>
    <w:p w:rsidR="005E5283" w:rsidRDefault="00E33A85">
      <w:proofErr w:type="spellStart"/>
      <w:r>
        <w:t>Zaknjižena</w:t>
      </w:r>
      <w:proofErr w:type="spellEnd"/>
      <w:r>
        <w:t xml:space="preserve"> je bankovna garancija izvođača radova kojim jamči dobro izvršenje ugovora.</w:t>
      </w:r>
    </w:p>
    <w:p w:rsidR="005E5283" w:rsidRDefault="00E33A85">
      <w:r>
        <w:t>Prema evidenciji o preuzetim obvezama prema ugovorima preostalo je i izdavanje okončane građevinske situacije te i okončane situacije nadzora građevinskih radova.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461.999,76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1925,0</w:t>
            </w:r>
          </w:p>
        </w:tc>
      </w:tr>
    </w:tbl>
    <w:p w:rsidR="005E5283" w:rsidRDefault="005E5283">
      <w:pPr>
        <w:spacing w:after="0"/>
      </w:pPr>
    </w:p>
    <w:p w:rsidR="005E5283" w:rsidRDefault="00E33A85">
      <w:proofErr w:type="spellStart"/>
      <w:r>
        <w:t>Zaknjižena</w:t>
      </w:r>
      <w:proofErr w:type="spellEnd"/>
      <w:r>
        <w:t xml:space="preserve"> je bankovna garancija izvođača radova kojim jamči dobro izvršenje ugovora.</w:t>
      </w:r>
    </w:p>
    <w:p w:rsidR="005E5283" w:rsidRDefault="00E33A85">
      <w:r>
        <w:t>Prema evidenciji o preuzetim obvezama prema ugovorima preostalo je i izdavanje okončane građevinske situacije te i okončane situacije nadzora građevinskih radova.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418.100,14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5283" w:rsidRDefault="005E5283">
      <w:pPr>
        <w:spacing w:after="0"/>
      </w:pPr>
    </w:p>
    <w:p w:rsidR="005E5283" w:rsidRDefault="00E33A85">
      <w:proofErr w:type="spellStart"/>
      <w:r>
        <w:t>Zaknjižena</w:t>
      </w:r>
      <w:proofErr w:type="spellEnd"/>
      <w:r>
        <w:t xml:space="preserve"> je bankovna garancija izvođača radova kojim jamči dobro izvršenje ugovora.</w:t>
      </w:r>
    </w:p>
    <w:p w:rsidR="005E5283" w:rsidRDefault="00E33A85">
      <w:r>
        <w:t> 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19.899,62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Prema evidenciji o preuzetim obvezama prema ugovorima preostalo je i izdavanje okončane građevinske situacije te i okončane situacije nadzora građevinskih radova.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Poljoprivreda, šumarstvo, ribarstvo i lov (šifre 0421 do 0423)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3.240.492,68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7.478.925,39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230,8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Obrazac RAS – funkcijski za razdoblje od 01. siječnja do 31. prosinca 2025. godine popunjen je ostvarenim ukupnim iznosima rashoda razreda 3 i 4 prema funkciji za koju su utrošeni.</w:t>
      </w:r>
    </w:p>
    <w:p w:rsidR="005E5283" w:rsidRDefault="00E33A85">
      <w:r>
        <w:t> </w:t>
      </w:r>
    </w:p>
    <w:p w:rsidR="005E5283" w:rsidRDefault="00E33A85">
      <w:r>
        <w:t>Ostvareni su ukupni rashodi u iznosu od 7.478.925,39 EUR raspoređeni prema funkcijskoj klasifikaciji u obrascu.</w:t>
      </w:r>
    </w:p>
    <w:p w:rsidR="005E5283" w:rsidRDefault="00E33A85">
      <w:r>
        <w:t>Funkcijska klasifikacija je prikaz rashoda razvrstanih prema njihovoj namjeni. Prema funkcijskoj klasifikaciji razvrstavaju se rashodi poslovanja razreda 3 i rashodi za nabavu nefinancijske imovine razreda 4, dok se izdaci za financijsku imovinu i otplatu zajmova ne uključuju u ovaj obrazac.</w:t>
      </w:r>
    </w:p>
    <w:p w:rsidR="005E5283" w:rsidRDefault="00E33A85">
      <w:r>
        <w:t>Povećanje u odnosu na prošlu godinu je značajno (indeks 230,8) radi provedbe ugovora o izgradnji ergele Lipik-faza II.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472.709,43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Na kraju 2025.godine proveden je redovan ispravak vrijednosti imovine (knjižen preko 91511) . Isto tako tijekom 2025.godine prilikom prodaje grla iz osnovnog stada ili zbog uginuća ili eutanazije, smanjen je obujam imovine (knjiženo preko 91512) i to za neamortiziranu vrijednost grla.</w:t>
      </w:r>
    </w:p>
    <w:p w:rsidR="005E5283" w:rsidRDefault="00E33A85">
      <w:r>
        <w:t>Donesena je odluka o otpisu nenaplativog potraživanja  za zatezne kamate od kupca DISCOVER DALMATIA, Primošten</w:t>
      </w:r>
    </w:p>
    <w:p w:rsidR="005E5283" w:rsidRDefault="00E33A85">
      <w:r>
        <w:t xml:space="preserve">kako bi se </w:t>
      </w:r>
      <w:proofErr w:type="spellStart"/>
      <w:r>
        <w:t>isknjižilo</w:t>
      </w:r>
      <w:proofErr w:type="spellEnd"/>
      <w:r>
        <w:t xml:space="preserve"> potraživanje za zatezne kamate zbog kašnjenja u plaćanju kupca  budući navedeno dugovanje kupac kategorički odbija priznati i platiti, te kako je riječ o vrlo malom iznosu naloženo je njegovo otpisivanje i </w:t>
      </w:r>
      <w:proofErr w:type="spellStart"/>
      <w:r>
        <w:t>isknjiženje</w:t>
      </w:r>
      <w:proofErr w:type="spellEnd"/>
      <w:r>
        <w:t>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5E52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 </w:t>
      </w:r>
    </w:p>
    <w:p w:rsidR="005E5283" w:rsidRDefault="00E33A85">
      <w:r>
        <w:t>         Dospjele obveze za rashode poslovanja odnose se na račune dobavljača čija je valuta plaćanja kratka.</w:t>
      </w:r>
    </w:p>
    <w:p w:rsidR="005E5283" w:rsidRDefault="00E33A85">
      <w:r>
        <w:t>U ovom slučaju riječ je o računu za članarinu za 2025.godinu u ESSI (Europsko udruženje državnih ergela konja),koji je zaprimljen pred kraj godine.</w:t>
      </w:r>
    </w:p>
    <w:p w:rsidR="005E5283" w:rsidRDefault="00E33A85">
      <w:r>
        <w:t> </w:t>
      </w:r>
    </w:p>
    <w:p w:rsidR="005E5283" w:rsidRDefault="00E33A85">
      <w:r>
        <w:t> </w:t>
      </w:r>
    </w:p>
    <w:p w:rsidR="005E5283" w:rsidRDefault="00E33A85">
      <w:r>
        <w:t> </w:t>
      </w:r>
    </w:p>
    <w:p w:rsidR="005E5283" w:rsidRDefault="00E33A85">
      <w:r>
        <w:t> </w:t>
      </w:r>
    </w:p>
    <w:p w:rsidR="005E5283" w:rsidRDefault="00E33A85">
      <w:r>
        <w:t> </w:t>
      </w:r>
    </w:p>
    <w:p w:rsidR="005E5283" w:rsidRDefault="00E33A85">
      <w:r>
        <w:t> 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5E52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        Međusobne obveze proračunskih korisnika prikazuju obveze DEĐL-a za povrat sredstava u Državni proračun, a koja se odnose na refundacije bolovanja upućene prema HZZO-u i koja su međusobno usklađena.</w:t>
      </w:r>
    </w:p>
    <w:p w:rsidR="005E5283" w:rsidRDefault="005E5283"/>
    <w:p w:rsidR="005E5283" w:rsidRDefault="00E33A8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E528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E528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174.146,42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E5283" w:rsidRDefault="00E33A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E5283" w:rsidRDefault="005E5283">
      <w:pPr>
        <w:spacing w:after="0"/>
      </w:pPr>
    </w:p>
    <w:p w:rsidR="005E5283" w:rsidRDefault="00E33A85">
      <w:r>
        <w:t>Obveze za rashode poslovanja dio su nedospjelih obveza na dan 31.12.2025.godine i odnose se na:</w:t>
      </w:r>
    </w:p>
    <w:p w:rsidR="005E5283" w:rsidRDefault="00E33A85">
      <w:r>
        <w:rPr>
          <w:b/>
        </w:rPr>
        <w:t>Obveze za zaposlene</w:t>
      </w:r>
      <w:r>
        <w:t xml:space="preserve"> odnose se na obvezu za plaću i troškove prijevoza na posao za mjesec prosinac 2025.godine  čija isplata dospijeva u idućoj godini.</w:t>
      </w:r>
    </w:p>
    <w:p w:rsidR="005E5283" w:rsidRDefault="00E33A85">
      <w:r>
        <w:rPr>
          <w:b/>
        </w:rPr>
        <w:t>Obveze za materijalne rashode</w:t>
      </w:r>
      <w:r>
        <w:t xml:space="preserve"> obuhvaćaju režijske troškove za prosinac 2025.g. i ostale troškove poslovanja nastale u prosincu čije dospijeće je  u 2026.g.</w:t>
      </w:r>
    </w:p>
    <w:p w:rsidR="005E5283" w:rsidRDefault="005E5283"/>
    <w:sectPr w:rsidR="005E5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83"/>
    <w:rsid w:val="005E5283"/>
    <w:rsid w:val="00DE5A16"/>
    <w:rsid w:val="00E3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99D12-9F0F-466B-B824-73061E5F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3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3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Martina Juroš</cp:lastModifiedBy>
  <cp:revision>2</cp:revision>
  <cp:lastPrinted>2026-01-29T10:54:00Z</cp:lastPrinted>
  <dcterms:created xsi:type="dcterms:W3CDTF">2026-02-02T08:20:00Z</dcterms:created>
  <dcterms:modified xsi:type="dcterms:W3CDTF">2026-02-02T08:20:00Z</dcterms:modified>
</cp:coreProperties>
</file>